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numPr>
          <w:ilvl w:val="1"/>
          <w:numId w:val="1"/>
        </w:numPr>
        <w:spacing w:before="200" w:after="120"/>
        <w:jc w:val="center"/>
        <w:rPr/>
      </w:pPr>
      <w:r>
        <w:rPr>
          <w:rFonts w:ascii="Open Sans;sans-serif" w:hAnsi="Open Sans;sans-serif"/>
          <w:b/>
          <w:i w:val="false"/>
          <w:caps w:val="false"/>
          <w:smallCaps w:val="false"/>
          <w:color w:val="333333"/>
          <w:spacing w:val="0"/>
          <w:sz w:val="27"/>
        </w:rPr>
        <w:t>Памятка по профилактике туберкулёза</w:t>
      </w:r>
      <w:r>
        <w:rPr/>
        <w:drawing>
          <wp:inline distT="0" distB="0" distL="0" distR="0">
            <wp:extent cx="5848985" cy="468693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037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468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865120" cy="417195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57027" t="47524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1"/>
        <w:widowControl/>
        <w:numPr>
          <w:ilvl w:val="0"/>
          <w:numId w:val="1"/>
        </w:numPr>
        <w:spacing w:lineRule="auto" w:line="240" w:before="0" w:after="75"/>
        <w:ind w:left="0" w:right="0" w:hanging="0"/>
        <w:jc w:val="center"/>
        <w:rPr>
          <w:rFonts w:ascii="Open Sans;sans-serif" w:hAnsi="Open Sans;sans-serif"/>
          <w:b/>
          <w:b/>
          <w:i w:val="false"/>
          <w:i w:val="false"/>
          <w:caps w:val="false"/>
          <w:smallCaps w:val="false"/>
          <w:color w:val="006699"/>
          <w:spacing w:val="0"/>
          <w:sz w:val="39"/>
        </w:rPr>
      </w:pPr>
      <w:bookmarkStart w:id="0" w:name="hPage"/>
      <w:bookmarkEnd w:id="0"/>
      <w:r>
        <w:rPr>
          <w:rFonts w:ascii="Open Sans;sans-serif" w:hAnsi="Open Sans;sans-serif"/>
          <w:b/>
          <w:i w:val="false"/>
          <w:caps w:val="false"/>
          <w:smallCaps w:val="false"/>
          <w:color w:val="006699"/>
          <w:spacing w:val="0"/>
          <w:sz w:val="39"/>
        </w:rPr>
        <w:t>Памятка для населения. Туберкулез</w:t>
      </w:r>
    </w:p>
    <w:p>
      <w:pPr>
        <w:pStyle w:val="Style17"/>
        <w:widowControl/>
        <w:spacing w:lineRule="atLeast" w:line="345" w:before="0" w:after="15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lineRule="atLeast" w:line="345" w:before="0" w:after="0"/>
        <w:ind w:left="36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000000"/>
          <w:spacing w:val="0"/>
          <w:sz w:val="21"/>
        </w:rPr>
        <w:t>ТУБЕРКУЛЕЗ - заразное заболевание</w:t>
      </w:r>
    </w:p>
    <w:p>
      <w:pPr>
        <w:pStyle w:val="Style17"/>
        <w:widowControl/>
        <w:spacing w:lineRule="atLeast" w:line="345" w:before="0" w:after="0"/>
        <w:ind w:left="36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  <w:t>ТУБЕРКУЛЕЗ</w:t>
      </w:r>
      <w:r>
        <w:rPr>
          <w:rStyle w:val="Style13"/>
          <w:rFonts w:ascii="inherit" w:hAnsi="inherit"/>
          <w:b/>
          <w:i w:val="false"/>
          <w:caps w:val="false"/>
          <w:smallCaps w:val="false"/>
          <w:color w:val="006400"/>
          <w:spacing w:val="0"/>
          <w:sz w:val="21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- тяжелое инфекционное заболевание, характеризуется образованием воспалительных изменений в органах, чаще всего в легких, могут поражаться кости, суставы, глаза и др. Чаще болеют люди с ослабленным иммунитетом.</w:t>
      </w:r>
    </w:p>
    <w:p>
      <w:pPr>
        <w:pStyle w:val="Style17"/>
        <w:widowControl/>
        <w:spacing w:lineRule="atLeast" w:line="345" w:before="0" w:after="0"/>
        <w:ind w:left="360" w:right="0" w:hanging="0"/>
        <w:jc w:val="both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  <w:t>Факторы, способствующие заболеванию туберкулезом</w:t>
      </w:r>
      <w:r>
        <w:rPr>
          <w:rStyle w:val="Style13"/>
          <w:rFonts w:ascii="inherit" w:hAnsi="inherit"/>
          <w:b w:val="false"/>
          <w:i w:val="false"/>
          <w:caps w:val="false"/>
          <w:smallCaps w:val="false"/>
          <w:color w:val="CE181E"/>
          <w:spacing w:val="0"/>
          <w:sz w:val="21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CE181E"/>
          <w:spacing w:val="0"/>
          <w:sz w:val="21"/>
        </w:rPr>
        <w:t>(снижению иммунитета):</w:t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CE181E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CE181E"/>
          <w:spacing w:val="0"/>
          <w:sz w:val="21"/>
        </w:rPr>
      </w:r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неблагоприятные социальные и экологические условия жизни</w:t>
      </w:r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неполноценное питание</w:t>
      </w:r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алкоголизм, курение, наркомания</w:t>
      </w:r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стрессы</w:t>
      </w:r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наличие сопутствующих заболеваний (диабета,язвенной болезни желудка или 12-перстной кишки, заболеваний легких) и др.</w:t>
      </w:r>
    </w:p>
    <w:p>
      <w:pPr>
        <w:pStyle w:val="Style17"/>
        <w:widowControl/>
        <w:spacing w:lineRule="atLeast" w:line="345" w:before="0" w:after="150"/>
        <w:ind w:left="855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  <w:t>ВОЗБУДИТЕЛЬ ТУБЕРКУЛЕЗА</w:t>
      </w:r>
      <w:r>
        <w:rPr>
          <w:rStyle w:val="Style13"/>
          <w:rFonts w:ascii="inherit" w:hAnsi="inherit"/>
          <w:b/>
          <w:i w:val="false"/>
          <w:caps w:val="false"/>
          <w:smallCaps w:val="false"/>
          <w:color w:val="006400"/>
          <w:spacing w:val="0"/>
          <w:sz w:val="21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– микобактерии (палочки Коха, открыты в 1882 году немецким врачом Р.Кохом), имеют высокую устойчивость к факторам внешней среды: при кипячении погибают через 5 минут, при t600 С – выживают 20 минут, в уличной пыли сохраняются до 10 дней, в воде до 5 месяцев. Вещества, содержащие активный хлор, вызывают гибель микобактерий в течение 3-5 часов. Микобактерии сохраняют свою жизнеспособность в условиях высокой влажности, на различных предметах, а также в продуктах, особенно молочных.</w:t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  <w:t>ИСТОЧНИК ИНФЕКЦИИ</w:t>
      </w:r>
      <w:r>
        <w:rPr>
          <w:rStyle w:val="Style13"/>
          <w:rFonts w:ascii="inherit" w:hAnsi="inherit"/>
          <w:b/>
          <w:i w:val="false"/>
          <w:caps w:val="false"/>
          <w:smallCaps w:val="false"/>
          <w:color w:val="006400"/>
          <w:spacing w:val="0"/>
          <w:sz w:val="21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– человек, крупный рогатый скот, который также болеет туберкулезом.</w:t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  <w:t>ПРОФИЛАКТИКА:</w:t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>
          <w:rStyle w:val="Style13"/>
          <w:rFonts w:ascii="inherit" w:hAnsi="inherit"/>
          <w:b/>
          <w:b/>
          <w:i w:val="false"/>
          <w:i w:val="false"/>
          <w:caps w:val="false"/>
          <w:smallCaps w:val="false"/>
          <w:color w:val="CE181E"/>
          <w:spacing w:val="0"/>
          <w:sz w:val="21"/>
        </w:rPr>
      </w:pPr>
      <w:r>
        <w:rPr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</w:r>
    </w:p>
    <w:p>
      <w:pPr>
        <w:pStyle w:val="Style17"/>
        <w:widowControl/>
        <w:numPr>
          <w:ilvl w:val="0"/>
          <w:numId w:val="3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положительные эмоции</w:t>
      </w:r>
    </w:p>
    <w:p>
      <w:pPr>
        <w:pStyle w:val="Style17"/>
        <w:widowControl/>
        <w:numPr>
          <w:ilvl w:val="0"/>
          <w:numId w:val="3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отказ от вредных привычек</w:t>
      </w:r>
    </w:p>
    <w:p>
      <w:pPr>
        <w:pStyle w:val="Style17"/>
        <w:widowControl/>
        <w:numPr>
          <w:ilvl w:val="0"/>
          <w:numId w:val="3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соблюдение личной гигиены</w:t>
      </w:r>
    </w:p>
    <w:p>
      <w:pPr>
        <w:pStyle w:val="Style17"/>
        <w:widowControl/>
        <w:numPr>
          <w:ilvl w:val="0"/>
          <w:numId w:val="3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вакцинация и ревакцинация</w:t>
      </w:r>
    </w:p>
    <w:p>
      <w:pPr>
        <w:pStyle w:val="Style17"/>
        <w:widowControl/>
        <w:numPr>
          <w:ilvl w:val="0"/>
          <w:numId w:val="3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ежегодная флюорография</w:t>
      </w:r>
    </w:p>
    <w:p>
      <w:pPr>
        <w:pStyle w:val="Style17"/>
        <w:widowControl/>
        <w:numPr>
          <w:ilvl w:val="0"/>
          <w:numId w:val="3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соблюдение гигиены жилища</w:t>
      </w:r>
    </w:p>
    <w:p>
      <w:pPr>
        <w:pStyle w:val="Style17"/>
        <w:widowControl/>
        <w:numPr>
          <w:ilvl w:val="0"/>
          <w:numId w:val="3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физическая активность</w:t>
      </w:r>
    </w:p>
    <w:p>
      <w:pPr>
        <w:pStyle w:val="Style17"/>
        <w:widowControl/>
        <w:numPr>
          <w:ilvl w:val="0"/>
          <w:numId w:val="3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полноценное питание</w:t>
      </w:r>
    </w:p>
    <w:p>
      <w:pPr>
        <w:pStyle w:val="Style17"/>
        <w:widowControl/>
        <w:numPr>
          <w:ilvl w:val="0"/>
          <w:numId w:val="3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чистый воздух и солнечный свет</w:t>
      </w:r>
    </w:p>
    <w:p>
      <w:pPr>
        <w:pStyle w:val="Style17"/>
        <w:widowControl/>
        <w:numPr>
          <w:ilvl w:val="0"/>
          <w:numId w:val="3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ограничение контакта с больным</w:t>
      </w:r>
    </w:p>
    <w:p>
      <w:pPr>
        <w:pStyle w:val="Style17"/>
        <w:widowControl/>
        <w:numPr>
          <w:ilvl w:val="0"/>
          <w:numId w:val="3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Style17"/>
        <w:widowControl/>
        <w:spacing w:lineRule="atLeast" w:line="345" w:before="0" w:after="0"/>
        <w:ind w:left="855" w:right="0" w:hanging="0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  <w:t>ПУТИ ПЕРЕДАЧИ:</w:t>
      </w:r>
    </w:p>
    <w:p>
      <w:pPr>
        <w:pStyle w:val="Style17"/>
        <w:widowControl/>
        <w:spacing w:lineRule="atLeast" w:line="345" w:before="0" w:after="0"/>
        <w:ind w:left="855" w:right="0" w:hanging="0"/>
        <w:rPr>
          <w:rStyle w:val="Style13"/>
          <w:rFonts w:ascii="inherit" w:hAnsi="inherit"/>
          <w:b/>
          <w:b/>
          <w:i w:val="false"/>
          <w:i w:val="false"/>
          <w:caps w:val="false"/>
          <w:smallCaps w:val="false"/>
          <w:color w:val="CE181E"/>
          <w:spacing w:val="0"/>
          <w:sz w:val="21"/>
        </w:rPr>
      </w:pPr>
      <w:r>
        <w:rPr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</w:r>
    </w:p>
    <w:p>
      <w:pPr>
        <w:pStyle w:val="Style17"/>
        <w:widowControl/>
        <w:numPr>
          <w:ilvl w:val="0"/>
          <w:numId w:val="4"/>
        </w:numPr>
        <w:tabs>
          <w:tab w:val="left" w:pos="0" w:leader="none"/>
        </w:tabs>
        <w:spacing w:lineRule="atLeast" w:line="270" w:before="0" w:after="0"/>
        <w:ind w:left="270" w:right="0" w:hanging="283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000000"/>
          <w:spacing w:val="0"/>
          <w:sz w:val="21"/>
        </w:rPr>
        <w:t xml:space="preserve">воздушно-капельный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– вдыхание зараженной пыли, капелек мокроты при разговоре, чихании, кашле</w:t>
      </w:r>
    </w:p>
    <w:p>
      <w:pPr>
        <w:pStyle w:val="Style17"/>
        <w:widowControl/>
        <w:numPr>
          <w:ilvl w:val="0"/>
          <w:numId w:val="4"/>
        </w:numPr>
        <w:tabs>
          <w:tab w:val="left" w:pos="0" w:leader="none"/>
        </w:tabs>
        <w:spacing w:lineRule="atLeast" w:line="270" w:before="0" w:after="0"/>
        <w:ind w:left="270" w:right="0" w:hanging="283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000000"/>
          <w:spacing w:val="0"/>
          <w:sz w:val="21"/>
        </w:rPr>
        <w:t xml:space="preserve">желудочно-кишечный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– употребление в пищу зараженных продуктов</w:t>
      </w:r>
    </w:p>
    <w:p>
      <w:pPr>
        <w:pStyle w:val="Style17"/>
        <w:widowControl/>
        <w:numPr>
          <w:ilvl w:val="0"/>
          <w:numId w:val="4"/>
        </w:numPr>
        <w:tabs>
          <w:tab w:val="left" w:pos="0" w:leader="none"/>
        </w:tabs>
        <w:spacing w:lineRule="atLeast" w:line="270" w:before="0" w:after="0"/>
        <w:ind w:left="270" w:right="0" w:hanging="283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000000"/>
          <w:spacing w:val="0"/>
          <w:sz w:val="21"/>
        </w:rPr>
        <w:t xml:space="preserve">контактно-бытовой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– через поврежденную кожу и слизистые оболочки, поцелуи с больным человеком, в общественном транспорте</w:t>
      </w:r>
    </w:p>
    <w:p>
      <w:pPr>
        <w:pStyle w:val="Style17"/>
        <w:widowControl/>
        <w:numPr>
          <w:ilvl w:val="0"/>
          <w:numId w:val="4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/>
      </w:pPr>
      <w:r>
        <w:rPr>
          <w:rStyle w:val="Style15"/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При чихании и кашле прикрывайте рот.</w:t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/>
      </w:pPr>
      <w:r>
        <w:rPr>
          <w:rStyle w:val="Style15"/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Не плюйте – микобактерии очень живучие.</w:t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/>
      </w:pPr>
      <w:r>
        <w:rPr>
          <w:rStyle w:val="Style15"/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Старайтесь лишний раз не браться за поручни.</w:t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/>
      </w:pPr>
      <w:r>
        <w:rPr>
          <w:rStyle w:val="Style15"/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Проводите больше времени на свежем воздухе.</w:t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>
          <w:rStyle w:val="Style15"/>
          <w:rFonts w:ascii="inherit" w:hAnsi="inherit"/>
          <w:b w:val="false"/>
          <w:b w:val="false"/>
          <w:i/>
          <w:i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  <w:t>ПРИЗНАКИ, ТРЕБУЮЩИЕ ОБРАЩЕНИЯ К ВРАЧУ:</w:t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>
          <w:rStyle w:val="Style13"/>
          <w:rFonts w:ascii="inherit" w:hAnsi="inherit"/>
          <w:b/>
          <w:b/>
          <w:i w:val="false"/>
          <w:i w:val="false"/>
          <w:caps w:val="false"/>
          <w:smallCaps w:val="false"/>
          <w:color w:val="CE181E"/>
          <w:spacing w:val="0"/>
          <w:sz w:val="21"/>
        </w:rPr>
      </w:pPr>
      <w:r>
        <w:rPr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</w:r>
    </w:p>
    <w:p>
      <w:pPr>
        <w:pStyle w:val="Style17"/>
        <w:widowControl/>
        <w:numPr>
          <w:ilvl w:val="0"/>
          <w:numId w:val="5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быстрая утомляемость, общая слабость</w:t>
      </w:r>
    </w:p>
    <w:p>
      <w:pPr>
        <w:pStyle w:val="Style17"/>
        <w:widowControl/>
        <w:numPr>
          <w:ilvl w:val="0"/>
          <w:numId w:val="5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потеря аппетита</w:t>
      </w:r>
    </w:p>
    <w:p>
      <w:pPr>
        <w:pStyle w:val="Style17"/>
        <w:widowControl/>
        <w:numPr>
          <w:ilvl w:val="0"/>
          <w:numId w:val="5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одышка при небольших физических нагрузках</w:t>
      </w:r>
    </w:p>
    <w:p>
      <w:pPr>
        <w:pStyle w:val="Style17"/>
        <w:widowControl/>
        <w:numPr>
          <w:ilvl w:val="0"/>
          <w:numId w:val="5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длительный кашель и повышение температуры тела до 37,0 – 37,5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5"/>
        </w:rPr>
        <w:t>0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С</w:t>
      </w:r>
    </w:p>
    <w:p>
      <w:pPr>
        <w:pStyle w:val="Style17"/>
        <w:widowControl/>
        <w:numPr>
          <w:ilvl w:val="0"/>
          <w:numId w:val="5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потливость (особенно по ночам), потеря веса и пр.</w:t>
      </w:r>
    </w:p>
    <w:p>
      <w:pPr>
        <w:pStyle w:val="Style17"/>
        <w:widowControl/>
        <w:numPr>
          <w:ilvl w:val="0"/>
          <w:numId w:val="5"/>
        </w:numPr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Style17"/>
        <w:widowControl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Длительное время туберкулез может протекать незаметно для больного и срываться под маской ОРЗ, бронхита, воспаления легких и тд.</w:t>
      </w:r>
    </w:p>
    <w:p>
      <w:pPr>
        <w:pStyle w:val="Style17"/>
        <w:widowControl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/>
          <w:iCs/>
          <w:caps w:val="false"/>
          <w:smallCaps w:val="false"/>
          <w:color w:val="000000"/>
          <w:spacing w:val="0"/>
          <w:sz w:val="21"/>
        </w:rPr>
        <w:t>Своевременно выявленный туберкулез при рано начатом лечении излечивается!</w:t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  <w:t>РАННЕЕ ВЫЯВЛЕНИЕ ТУБЕРКУЛЕЗА:</w:t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>
          <w:rStyle w:val="Style13"/>
          <w:rFonts w:ascii="inherit" w:hAnsi="inherit"/>
          <w:b/>
          <w:b/>
          <w:i w:val="false"/>
          <w:i w:val="false"/>
          <w:caps w:val="false"/>
          <w:smallCaps w:val="false"/>
          <w:color w:val="CE181E"/>
          <w:spacing w:val="0"/>
          <w:sz w:val="21"/>
        </w:rPr>
      </w:pPr>
      <w:r>
        <w:rPr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</w:r>
    </w:p>
    <w:p>
      <w:pPr>
        <w:pStyle w:val="Style17"/>
        <w:widowControl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У детей реакция Манту, у взрослых – флюорография.</w:t>
      </w:r>
    </w:p>
    <w:p>
      <w:pPr>
        <w:pStyle w:val="Style17"/>
        <w:widowControl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Вакцинация детей вакциной БЦЖ проводится в родильном доме и ревакцинация – в 7 и 14 лет, взрослых – до 30 лет по медицинским показаниям.</w:t>
      </w:r>
    </w:p>
    <w:p>
      <w:pPr>
        <w:pStyle w:val="Style17"/>
        <w:widowControl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При появлении положительной пробы или увеличения её размера на 6 мм и больше, по сравнению с предыдущей пробой, необходимо обследоваться в противотуберкулезном диспансере.</w:t>
      </w:r>
    </w:p>
    <w:p>
      <w:pPr>
        <w:pStyle w:val="Style17"/>
        <w:widowControl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Флюорография грудной клетки проводится ежегодно, что позволяет, кроме туберкулеза, своевременно выявить другую патологию легких, сердца, онкологические и профессиональные заболевания. </w:t>
      </w:r>
    </w:p>
    <w:p>
      <w:pPr>
        <w:pStyle w:val="Style17"/>
        <w:widowControl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Если в вашем окружении есть больной туберкулезом, обследоваться нужно 2 раза в год в противотуберкулезном диспансере. Детям и подросткам необходимо пройти химиопрофилактику (лечение противотуберкулезными средствами). </w:t>
      </w:r>
    </w:p>
    <w:p>
      <w:pPr>
        <w:pStyle w:val="Style17"/>
        <w:widowControl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Отказ от профилактического обследования и рекомендаций врача может привести к трудноизлечимым формам туберкулеза.</w:t>
      </w:r>
    </w:p>
    <w:p>
      <w:pPr>
        <w:pStyle w:val="Style17"/>
        <w:widowControl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Style17"/>
        <w:widowControl/>
        <w:spacing w:lineRule="atLeast" w:line="345"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B22222"/>
          <w:spacing w:val="0"/>
          <w:sz w:val="21"/>
        </w:rPr>
        <w:t>Здоровый образ жизни – путь к долголетию!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inheri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pen Sans">
    <w:altName w:val="sans-serif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70"/>
        </w:tabs>
        <w:ind w:left="270" w:hanging="283"/>
      </w:pPr>
      <w:rPr>
        <w:rFonts w:ascii="Symbol" w:hAnsi="Symbol" w:cs="Symbol" w:hint="default"/>
        <w:sz w:val="21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70"/>
        </w:tabs>
        <w:ind w:left="270" w:hanging="283"/>
      </w:pPr>
      <w:rPr>
        <w:rFonts w:ascii="Symbol" w:hAnsi="Symbol" w:cs="Symbol" w:hint="default"/>
        <w:sz w:val="21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270"/>
        </w:tabs>
        <w:ind w:left="270" w:hanging="283"/>
      </w:pPr>
      <w:rPr>
        <w:rFonts w:ascii="Symbol" w:hAnsi="Symbol" w:cs="Symbol" w:hint="default"/>
        <w:sz w:val="21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270"/>
        </w:tabs>
        <w:ind w:left="270" w:hanging="283"/>
      </w:pPr>
      <w:rPr>
        <w:rFonts w:ascii="Symbol" w:hAnsi="Symbol" w:cs="Symbol" w:hint="default"/>
        <w:sz w:val="21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WenQuanYi Zen Hei Sharp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WenQuanYi Zen Hei Sharp" w:cs="Lohit Devanagari"/>
      <w:b/>
      <w:bCs/>
      <w:sz w:val="48"/>
      <w:szCs w:val="48"/>
    </w:rPr>
  </w:style>
  <w:style w:type="paragraph" w:styleId="2">
    <w:name w:val="Heading 2"/>
    <w:basedOn w:val="Style16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WenQuanYi Zen Hei Sharp" w:cs="Lohit Devanagari"/>
      <w:b/>
      <w:bCs/>
      <w:sz w:val="36"/>
      <w:szCs w:val="36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Выделение"/>
    <w:qFormat/>
    <w:rPr>
      <w:i/>
      <w:iCs/>
    </w:rPr>
  </w:style>
  <w:style w:type="character" w:styleId="ListLabel1">
    <w:name w:val="ListLabel 1"/>
    <w:qFormat/>
    <w:rPr>
      <w:rFonts w:ascii="inherit" w:hAnsi="inherit" w:cs="OpenSymbol"/>
      <w:b w:val="false"/>
      <w:sz w:val="21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inherit" w:hAnsi="inherit" w:cs="OpenSymbol"/>
      <w:b w:val="false"/>
      <w:sz w:val="21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inherit" w:hAnsi="inherit" w:cs="OpenSymbol"/>
      <w:b w:val="false"/>
      <w:sz w:val="21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inherit" w:hAnsi="inherit" w:cs="OpenSymbol"/>
      <w:b w:val="false"/>
      <w:sz w:val="21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LibreOffice/6.0.6.1$Linux_X86_64 LibreOffice_project/00$Build-1</Application>
  <Pages>3</Pages>
  <Words>442</Words>
  <Characters>2946</Characters>
  <CharactersWithSpaces>3329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2023-03-20T13:48:16Z</dcterms:created>
  <dc:creator/>
  <dc:description/>
  <dc:language>ru-RU</dc:language>
  <cp:lastModifiedBy/>
  <dcterms:modified xsi:type="dcterms:W3CDTF">2023-03-20T13:54:48Z</dcterms:modified>
  <cp:revision>1</cp:revision>
  <dc:subject/>
  <dc:title/>
</cp:coreProperties>
</file>